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2456686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4071F">
        <w:rPr>
          <w:rFonts w:asciiTheme="minorHAnsi" w:hAnsiTheme="minorHAnsi" w:cstheme="minorHAnsi"/>
          <w:b/>
          <w:sz w:val="28"/>
          <w:szCs w:val="28"/>
        </w:rPr>
        <w:t>III/212 4 a III/212 15 Modernizace křižovatky Libavské Údolí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F4071F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F4071F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F4071F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F4071F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F4071F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F4071F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FC9AED8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III/212 4 a III/212 15 Modernizace křižovatky Libavské Údolí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90ECC66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III/212 4 a III/212 15 Modernizace křižovatky Libavské Údolí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06DF150E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III/212 4 a III/212 15 Modernizace křižovatky Libavské Údolí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071F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2023-10-16T12:21:00Z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